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0"/>
        <w:ind w:left="4091"/>
      </w:pPr>
      <w:r>
        <w:rPr/>
        <w:drawing>
          <wp:anchor distT="0" distB="0" distL="0" distR="0" allowOverlap="1" layoutInCell="1" locked="0" behindDoc="0" simplePos="0" relativeHeight="251658240">
            <wp:simplePos x="0" y="0"/>
            <wp:positionH relativeFrom="page">
              <wp:posOffset>914400</wp:posOffset>
            </wp:positionH>
            <wp:positionV relativeFrom="paragraph">
              <wp:posOffset>-6275</wp:posOffset>
            </wp:positionV>
            <wp:extent cx="2307844" cy="6908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07844" cy="690879"/>
                    </a:xfrm>
                    <a:prstGeom prst="rect">
                      <a:avLst/>
                    </a:prstGeom>
                  </pic:spPr>
                </pic:pic>
              </a:graphicData>
            </a:graphic>
          </wp:anchor>
        </w:drawing>
      </w:r>
      <w:r>
        <w:rPr/>
        <w:t>Basketball Australia</w:t>
      </w:r>
    </w:p>
    <w:p>
      <w:pPr>
        <w:spacing w:before="0"/>
        <w:ind w:left="4039" w:right="0" w:firstLine="0"/>
        <w:jc w:val="center"/>
        <w:rPr>
          <w:b/>
          <w:sz w:val="24"/>
        </w:rPr>
      </w:pPr>
      <w:r>
        <w:rPr>
          <w:b/>
          <w:sz w:val="24"/>
        </w:rPr>
        <w:t>International Clearance Request and Payment Form</w:t>
      </w:r>
    </w:p>
    <w:p>
      <w:pPr>
        <w:spacing w:before="10"/>
        <w:ind w:left="4094" w:right="0" w:firstLine="0"/>
        <w:jc w:val="center"/>
        <w:rPr>
          <w:b/>
          <w:sz w:val="22"/>
        </w:rPr>
      </w:pPr>
      <w:r>
        <w:rPr>
          <w:b/>
          <w:color w:val="FF0000"/>
          <w:sz w:val="22"/>
        </w:rPr>
        <w:t>Updated November 2013</w:t>
      </w:r>
    </w:p>
    <w:p>
      <w:pPr>
        <w:pStyle w:val="BodyText"/>
        <w:ind w:left="0"/>
        <w:rPr>
          <w:b/>
          <w:sz w:val="20"/>
        </w:rPr>
      </w:pPr>
    </w:p>
    <w:p>
      <w:pPr>
        <w:pStyle w:val="BodyText"/>
        <w:ind w:left="0"/>
        <w:rPr>
          <w:b/>
          <w:sz w:val="20"/>
        </w:rPr>
      </w:pPr>
    </w:p>
    <w:p>
      <w:pPr>
        <w:pStyle w:val="BodyText"/>
        <w:spacing w:before="5"/>
        <w:ind w:left="0"/>
        <w:rPr>
          <w:b/>
          <w:sz w:val="26"/>
        </w:rPr>
      </w:pPr>
    </w:p>
    <w:p>
      <w:pPr>
        <w:spacing w:before="94"/>
        <w:ind w:left="260" w:right="0" w:firstLine="0"/>
        <w:jc w:val="left"/>
        <w:rPr>
          <w:b/>
          <w:sz w:val="22"/>
        </w:rPr>
      </w:pPr>
      <w:r>
        <w:rPr>
          <w:b/>
          <w:sz w:val="22"/>
          <w:u w:val="thick"/>
        </w:rPr>
        <w:t>REQUIREMENTS</w:t>
      </w:r>
    </w:p>
    <w:p>
      <w:pPr>
        <w:pStyle w:val="ListParagraph"/>
        <w:numPr>
          <w:ilvl w:val="0"/>
          <w:numId w:val="1"/>
        </w:numPr>
        <w:tabs>
          <w:tab w:pos="980" w:val="left" w:leader="none"/>
          <w:tab w:pos="981" w:val="left" w:leader="none"/>
        </w:tabs>
        <w:spacing w:line="240" w:lineRule="auto" w:before="123" w:after="0"/>
        <w:ind w:left="980" w:right="1297" w:hanging="360"/>
        <w:jc w:val="left"/>
        <w:rPr>
          <w:sz w:val="22"/>
        </w:rPr>
      </w:pPr>
      <w:r>
        <w:rPr>
          <w:sz w:val="22"/>
        </w:rPr>
        <w:t>Any player who last played in a foreign country </w:t>
      </w:r>
      <w:r>
        <w:rPr>
          <w:sz w:val="22"/>
          <w:u w:val="single"/>
        </w:rPr>
        <w:t>must</w:t>
      </w:r>
      <w:r>
        <w:rPr>
          <w:sz w:val="22"/>
        </w:rPr>
        <w:t> obtain an international clearance from the </w:t>
      </w:r>
      <w:r>
        <w:rPr>
          <w:sz w:val="22"/>
          <w:u w:val="single"/>
        </w:rPr>
        <w:t>National Federation</w:t>
      </w:r>
      <w:r>
        <w:rPr>
          <w:sz w:val="22"/>
        </w:rPr>
        <w:t> of the country in which he/she last played before he/she is eligible to play in any competition in</w:t>
      </w:r>
      <w:r>
        <w:rPr>
          <w:spacing w:val="-12"/>
          <w:sz w:val="22"/>
        </w:rPr>
        <w:t> </w:t>
      </w:r>
      <w:r>
        <w:rPr>
          <w:sz w:val="22"/>
        </w:rPr>
        <w:t>Australia.</w:t>
      </w:r>
    </w:p>
    <w:p>
      <w:pPr>
        <w:pStyle w:val="ListParagraph"/>
        <w:numPr>
          <w:ilvl w:val="0"/>
          <w:numId w:val="1"/>
        </w:numPr>
        <w:tabs>
          <w:tab w:pos="980" w:val="left" w:leader="none"/>
          <w:tab w:pos="981" w:val="left" w:leader="none"/>
        </w:tabs>
        <w:spacing w:line="266" w:lineRule="exact" w:before="0" w:after="0"/>
        <w:ind w:left="980" w:right="0" w:hanging="361"/>
        <w:jc w:val="left"/>
        <w:rPr>
          <w:sz w:val="22"/>
        </w:rPr>
      </w:pPr>
      <w:r>
        <w:rPr>
          <w:sz w:val="22"/>
        </w:rPr>
        <w:t>A club clearance is </w:t>
      </w:r>
      <w:r>
        <w:rPr>
          <w:sz w:val="22"/>
          <w:u w:val="single"/>
        </w:rPr>
        <w:t>not</w:t>
      </w:r>
      <w:r>
        <w:rPr>
          <w:sz w:val="22"/>
        </w:rPr>
        <w:t> an international</w:t>
      </w:r>
      <w:r>
        <w:rPr>
          <w:spacing w:val="-1"/>
          <w:sz w:val="22"/>
        </w:rPr>
        <w:t> </w:t>
      </w:r>
      <w:r>
        <w:rPr>
          <w:sz w:val="22"/>
        </w:rPr>
        <w:t>clearance.</w:t>
      </w:r>
    </w:p>
    <w:p>
      <w:pPr>
        <w:pStyle w:val="ListParagraph"/>
        <w:numPr>
          <w:ilvl w:val="0"/>
          <w:numId w:val="1"/>
        </w:numPr>
        <w:tabs>
          <w:tab w:pos="980" w:val="left" w:leader="none"/>
          <w:tab w:pos="981" w:val="left" w:leader="none"/>
        </w:tabs>
        <w:spacing w:line="268" w:lineRule="exact" w:before="0" w:after="0"/>
        <w:ind w:left="980" w:right="0" w:hanging="361"/>
        <w:jc w:val="left"/>
        <w:rPr>
          <w:sz w:val="22"/>
        </w:rPr>
      </w:pPr>
      <w:r>
        <w:rPr>
          <w:sz w:val="22"/>
        </w:rPr>
        <w:t>This requirement applies to </w:t>
      </w:r>
      <w:r>
        <w:rPr>
          <w:sz w:val="22"/>
          <w:u w:val="single"/>
        </w:rPr>
        <w:t>both</w:t>
      </w:r>
      <w:r>
        <w:rPr>
          <w:sz w:val="22"/>
        </w:rPr>
        <w:t> foreign players and Australian</w:t>
      </w:r>
      <w:r>
        <w:rPr>
          <w:spacing w:val="-11"/>
          <w:sz w:val="22"/>
        </w:rPr>
        <w:t> </w:t>
      </w:r>
      <w:r>
        <w:rPr>
          <w:sz w:val="22"/>
        </w:rPr>
        <w:t>players</w:t>
      </w:r>
    </w:p>
    <w:p>
      <w:pPr>
        <w:pStyle w:val="ListParagraph"/>
        <w:numPr>
          <w:ilvl w:val="0"/>
          <w:numId w:val="1"/>
        </w:numPr>
        <w:tabs>
          <w:tab w:pos="980" w:val="left" w:leader="none"/>
          <w:tab w:pos="981" w:val="left" w:leader="none"/>
        </w:tabs>
        <w:spacing w:line="268" w:lineRule="exact" w:before="0" w:after="0"/>
        <w:ind w:left="980" w:right="0" w:hanging="361"/>
        <w:jc w:val="left"/>
        <w:rPr>
          <w:sz w:val="22"/>
        </w:rPr>
      </w:pPr>
      <w:r>
        <w:rPr>
          <w:sz w:val="22"/>
        </w:rPr>
        <w:t>These are international laws and not at the discretion of any body in</w:t>
      </w:r>
      <w:r>
        <w:rPr>
          <w:spacing w:val="-12"/>
          <w:sz w:val="22"/>
        </w:rPr>
        <w:t> </w:t>
      </w:r>
      <w:r>
        <w:rPr>
          <w:sz w:val="22"/>
        </w:rPr>
        <w:t>Australia.</w:t>
      </w:r>
    </w:p>
    <w:p>
      <w:pPr>
        <w:spacing w:before="121"/>
        <w:ind w:left="548" w:right="0" w:firstLine="0"/>
        <w:jc w:val="left"/>
        <w:rPr>
          <w:i/>
          <w:sz w:val="22"/>
        </w:rPr>
      </w:pPr>
      <w:r>
        <w:rPr>
          <w:b/>
          <w:i/>
          <w:sz w:val="22"/>
        </w:rPr>
        <w:t>A CLUB CLEARANCE NEVER CONSTITUTES AN INTERNATIONAL CLEARANCE</w:t>
      </w:r>
      <w:r>
        <w:rPr>
          <w:i/>
          <w:sz w:val="22"/>
        </w:rPr>
        <w:t>.</w:t>
      </w:r>
    </w:p>
    <w:p>
      <w:pPr>
        <w:pStyle w:val="Heading3"/>
        <w:numPr>
          <w:ilvl w:val="0"/>
          <w:numId w:val="2"/>
        </w:numPr>
        <w:tabs>
          <w:tab w:pos="619" w:val="left" w:leader="none"/>
        </w:tabs>
        <w:spacing w:line="240" w:lineRule="auto" w:before="116" w:after="0"/>
        <w:ind w:left="618" w:right="0" w:hanging="359"/>
        <w:jc w:val="left"/>
      </w:pPr>
      <w:r>
        <w:rPr/>
        <w:t>IN</w:t>
      </w:r>
      <w:r>
        <w:rPr>
          <w:spacing w:val="-4"/>
        </w:rPr>
        <w:t> </w:t>
      </w:r>
      <w:r>
        <w:rPr/>
        <w:t>GENERAL</w:t>
      </w:r>
    </w:p>
    <w:p>
      <w:pPr>
        <w:pStyle w:val="BodyText"/>
        <w:spacing w:before="124"/>
        <w:ind w:right="878"/>
        <w:jc w:val="both"/>
      </w:pPr>
      <w:r>
        <w:rPr/>
        <w:t>International Clearances are between Federations. Basketball Australia, on request by the player and Australian club, will contact the National Federation in which the player was last based and ask for an international clearance from that Federation.</w:t>
      </w:r>
    </w:p>
    <w:p>
      <w:pPr>
        <w:pStyle w:val="BodyText"/>
        <w:spacing w:before="117"/>
        <w:ind w:right="875"/>
        <w:jc w:val="both"/>
      </w:pPr>
      <w:r>
        <w:rPr/>
        <w:t>The National Federation is under </w:t>
      </w:r>
      <w:r>
        <w:rPr>
          <w:b/>
        </w:rPr>
        <w:t>no obligation </w:t>
      </w:r>
      <w:r>
        <w:rPr/>
        <w:t>to supply an international clearance </w:t>
      </w:r>
      <w:r>
        <w:rPr>
          <w:b/>
        </w:rPr>
        <w:t>for 7 working days</w:t>
      </w:r>
      <w:r>
        <w:rPr/>
        <w:t>, as the National Federation must first consult the club to seek a club clearance. If no response is received from the Federation after 7 working days, Basketball Australia will request assistance from FIBA. A number of National Federations now impose a Fee to process a LOC. Any request for payment will be forwarded to the applicant and once notification of payment is received the LOC will be approved.</w:t>
      </w:r>
    </w:p>
    <w:p>
      <w:pPr>
        <w:pStyle w:val="BodyText"/>
        <w:spacing w:before="122"/>
        <w:ind w:right="875"/>
        <w:jc w:val="both"/>
      </w:pPr>
      <w:r>
        <w:rPr/>
        <w:t>International Clearances are unconditional (with the exception of clearances between National Federations and the WNBA). The only acceptable reason for which a National Federation may refuse a request for an international clearance is the existence of a current valid contract between a player and a club under that Federation’s control.</w:t>
      </w:r>
    </w:p>
    <w:p>
      <w:pPr>
        <w:pStyle w:val="BodyText"/>
        <w:spacing w:before="121"/>
        <w:ind w:right="882"/>
        <w:jc w:val="both"/>
      </w:pPr>
      <w:r>
        <w:rPr/>
        <w:t>If the player has a FIBA Players Agent their name, nationality and FIBA Agent number must be provided with your clearance request.</w:t>
      </w:r>
    </w:p>
    <w:p>
      <w:pPr>
        <w:pStyle w:val="Heading3"/>
        <w:numPr>
          <w:ilvl w:val="0"/>
          <w:numId w:val="2"/>
        </w:numPr>
        <w:tabs>
          <w:tab w:pos="619" w:val="left" w:leader="none"/>
        </w:tabs>
        <w:spacing w:line="240" w:lineRule="auto" w:before="118" w:after="0"/>
        <w:ind w:left="618" w:right="0" w:hanging="359"/>
        <w:jc w:val="left"/>
      </w:pPr>
      <w:r>
        <w:rPr/>
        <w:t>AUSTRALIAN STUDENTS ATTENDING USA COLLEGE/HIGH</w:t>
      </w:r>
      <w:r>
        <w:rPr>
          <w:spacing w:val="-2"/>
        </w:rPr>
        <w:t> </w:t>
      </w:r>
      <w:r>
        <w:rPr/>
        <w:t>SCHOOL</w:t>
      </w:r>
    </w:p>
    <w:p>
      <w:pPr>
        <w:pStyle w:val="BodyText"/>
        <w:spacing w:before="121"/>
        <w:ind w:right="879"/>
        <w:jc w:val="both"/>
      </w:pPr>
      <w:r>
        <w:rPr/>
        <w:t>Under FIBA Regulation 4.8 of the Regulations governing the International Transfer of Players, Australian students attending USA Colleges and High Schools do not require an international clearance in either direction. These students remain tied to the club for which they were a member, before leaving for school in the USA (i.e. it is assumed that no time has elapsed).</w:t>
      </w:r>
    </w:p>
    <w:p>
      <w:pPr>
        <w:pStyle w:val="BodyText"/>
        <w:spacing w:before="121"/>
        <w:ind w:right="877"/>
        <w:jc w:val="both"/>
      </w:pPr>
      <w:r>
        <w:rPr/>
        <w:t>Basketball Australia, to assist the tracking of our players who go to school overseas, and to ensure that the proper clearance procedures are followed should the player not return to their home club following completion of their studies, has put in place an “Educational Player Tracking System” by way of an “Educational Player Release</w:t>
      </w:r>
      <w:r>
        <w:rPr>
          <w:spacing w:val="-8"/>
        </w:rPr>
        <w:t> </w:t>
      </w:r>
      <w:r>
        <w:rPr/>
        <w:t>Form”</w:t>
      </w:r>
    </w:p>
    <w:p>
      <w:pPr>
        <w:pStyle w:val="Heading3"/>
        <w:numPr>
          <w:ilvl w:val="0"/>
          <w:numId w:val="2"/>
        </w:numPr>
        <w:tabs>
          <w:tab w:pos="621" w:val="left" w:leader="none"/>
        </w:tabs>
        <w:spacing w:line="240" w:lineRule="auto" w:before="118" w:after="0"/>
        <w:ind w:left="620" w:right="0" w:hanging="361"/>
        <w:jc w:val="left"/>
      </w:pPr>
      <w:r>
        <w:rPr/>
        <w:t>NBA, NBDL &amp; WNBA</w:t>
      </w:r>
      <w:r>
        <w:rPr>
          <w:spacing w:val="-4"/>
        </w:rPr>
        <w:t> </w:t>
      </w:r>
      <w:r>
        <w:rPr/>
        <w:t>PLAYERS</w:t>
      </w:r>
    </w:p>
    <w:p>
      <w:pPr>
        <w:pStyle w:val="BodyText"/>
        <w:spacing w:before="122"/>
        <w:ind w:right="883"/>
        <w:jc w:val="both"/>
      </w:pPr>
      <w:r>
        <w:rPr/>
        <w:t>International clearances for players entering or leaving the NBA, NBDL or WNBA must pass through Basketball Australia, FIBA and the NBA, NBDL or WNBA (not USA Basketball)</w:t>
      </w:r>
    </w:p>
    <w:p>
      <w:pPr>
        <w:pStyle w:val="BodyText"/>
        <w:spacing w:before="118"/>
        <w:ind w:right="874"/>
        <w:jc w:val="both"/>
      </w:pPr>
      <w:r>
        <w:rPr>
          <w:b/>
        </w:rPr>
        <w:t>NB: for WNBA only </w:t>
      </w:r>
      <w:r>
        <w:rPr/>
        <w:t>- A National Federation may grant, with the club’s agreement, a conditional clearance, to play in the WNBA, for a player contractually bound to that club for a further season. Any player receiving a conditional clearance in this manner must return to the club to complete her contract and cannot receive a clearance to play for any other club. Similarly a player with an ongoing contract to play in the WNBA may be conditionally cleared by the WNBA to a national Federation with the proviso that the player must be cleared back to the WNBA to complete her contract with the WNBA</w:t>
      </w:r>
      <w:r>
        <w:rPr>
          <w:spacing w:val="-23"/>
        </w:rPr>
        <w:t> </w:t>
      </w:r>
      <w:r>
        <w:rPr/>
        <w:t>club.</w:t>
      </w:r>
    </w:p>
    <w:p>
      <w:pPr>
        <w:pStyle w:val="BodyText"/>
        <w:spacing w:before="19"/>
        <w:ind w:left="99" w:right="716"/>
        <w:jc w:val="center"/>
        <w:rPr>
          <w:rFonts w:ascii="Calibri"/>
        </w:rPr>
      </w:pPr>
      <w:r>
        <w:rPr>
          <w:rFonts w:ascii="Calibri"/>
        </w:rPr>
        <w:t>Basketball Australia, PO Box 218, South Melbourne, VIC, 3205</w:t>
      </w:r>
    </w:p>
    <w:p>
      <w:pPr>
        <w:pStyle w:val="BodyText"/>
        <w:ind w:left="99" w:right="719"/>
        <w:jc w:val="center"/>
        <w:rPr>
          <w:rFonts w:ascii="Calibri"/>
        </w:rPr>
      </w:pPr>
      <w:r>
        <w:rPr>
          <w:rFonts w:ascii="Calibri"/>
        </w:rPr>
        <w:t>Ph: +61 3 96974334, Fax: +61 3 96974335, Email </w:t>
      </w:r>
      <w:hyperlink r:id="rId6">
        <w:r>
          <w:rPr>
            <w:rFonts w:ascii="Calibri"/>
          </w:rPr>
          <w:t>transfers@basketball.net.au</w:t>
        </w:r>
      </w:hyperlink>
    </w:p>
    <w:p>
      <w:pPr>
        <w:spacing w:after="0"/>
        <w:jc w:val="center"/>
        <w:rPr>
          <w:rFonts w:ascii="Calibri"/>
        </w:rPr>
        <w:sectPr>
          <w:type w:val="continuous"/>
          <w:pgSz w:w="11910" w:h="16840"/>
          <w:pgMar w:top="700" w:bottom="280" w:left="1180" w:right="560"/>
        </w:sectPr>
      </w:pPr>
    </w:p>
    <w:p>
      <w:pPr>
        <w:pStyle w:val="Heading3"/>
        <w:numPr>
          <w:ilvl w:val="0"/>
          <w:numId w:val="2"/>
        </w:numPr>
        <w:tabs>
          <w:tab w:pos="621" w:val="left" w:leader="none"/>
        </w:tabs>
        <w:spacing w:line="240" w:lineRule="auto" w:before="77" w:after="0"/>
        <w:ind w:left="620" w:right="0" w:hanging="361"/>
        <w:jc w:val="left"/>
      </w:pPr>
      <w:r>
        <w:rPr/>
        <w:t>CLEARANCES FROM USA &amp;</w:t>
      </w:r>
      <w:r>
        <w:rPr>
          <w:spacing w:val="-12"/>
        </w:rPr>
        <w:t> </w:t>
      </w:r>
      <w:r>
        <w:rPr/>
        <w:t>CANADA</w:t>
      </w:r>
    </w:p>
    <w:p>
      <w:pPr>
        <w:pStyle w:val="BodyText"/>
        <w:spacing w:before="121"/>
        <w:ind w:right="877"/>
        <w:jc w:val="both"/>
      </w:pPr>
      <w:r>
        <w:rPr/>
        <w:t>Only the club or player can request a clearance from USA Basketball or Canada Basketball. These are the only two Federations that Basketball Australia is aware of, where BA is unable to request a clearance, as a fee is required to be paid by the player to these Federations. Web addresses to obtain each clearance/ method of payment forms can be found at:</w:t>
      </w:r>
    </w:p>
    <w:p>
      <w:pPr>
        <w:pStyle w:val="BodyText"/>
        <w:spacing w:line="352" w:lineRule="auto" w:before="121"/>
        <w:ind w:right="5671"/>
        <w:jc w:val="both"/>
      </w:pPr>
      <w:r>
        <w:rPr/>
        <w:t>USA Clearances – </w:t>
      </w:r>
      <w:hyperlink r:id="rId7">
        <w:r>
          <w:rPr>
            <w:color w:val="0000FF"/>
            <w:u w:val="single" w:color="0000FF"/>
          </w:rPr>
          <w:t>www.usabasketball.com</w:t>
        </w:r>
      </w:hyperlink>
      <w:r>
        <w:rPr>
          <w:color w:val="0000FF"/>
        </w:rPr>
        <w:t> </w:t>
      </w:r>
      <w:r>
        <w:rPr/>
        <w:t>Canadian Clearances – </w:t>
      </w:r>
      <w:hyperlink r:id="rId8">
        <w:r>
          <w:rPr>
            <w:color w:val="0000FF"/>
            <w:u w:val="single" w:color="0000FF"/>
          </w:rPr>
          <w:t>www.basketball.ca</w:t>
        </w:r>
      </w:hyperlink>
    </w:p>
    <w:p>
      <w:pPr>
        <w:pStyle w:val="Heading3"/>
        <w:numPr>
          <w:ilvl w:val="0"/>
          <w:numId w:val="2"/>
        </w:numPr>
        <w:tabs>
          <w:tab w:pos="621" w:val="left" w:leader="none"/>
        </w:tabs>
        <w:spacing w:line="240" w:lineRule="auto" w:before="0" w:after="0"/>
        <w:ind w:left="620" w:right="0" w:hanging="361"/>
        <w:jc w:val="left"/>
      </w:pPr>
      <w:r>
        <w:rPr/>
        <w:t>SPORT</w:t>
      </w:r>
      <w:r>
        <w:rPr>
          <w:spacing w:val="-2"/>
        </w:rPr>
        <w:t> </w:t>
      </w:r>
      <w:r>
        <w:rPr/>
        <w:t>VISA</w:t>
      </w:r>
    </w:p>
    <w:p>
      <w:pPr>
        <w:pStyle w:val="BodyText"/>
        <w:spacing w:before="122"/>
        <w:ind w:right="1390"/>
      </w:pPr>
      <w:r>
        <w:rPr/>
        <w:t>BA cannot support an application for a basketball sport visa without a valid international clearance.</w:t>
      </w:r>
    </w:p>
    <w:p>
      <w:pPr>
        <w:pStyle w:val="Heading3"/>
        <w:numPr>
          <w:ilvl w:val="0"/>
          <w:numId w:val="2"/>
        </w:numPr>
        <w:tabs>
          <w:tab w:pos="621" w:val="left" w:leader="none"/>
        </w:tabs>
        <w:spacing w:line="240" w:lineRule="auto" w:before="119" w:after="0"/>
        <w:ind w:left="620" w:right="0" w:hanging="361"/>
        <w:jc w:val="left"/>
      </w:pPr>
      <w:r>
        <w:rPr/>
        <w:t>INTERNATIONAL CLEARANCES FROM</w:t>
      </w:r>
      <w:r>
        <w:rPr>
          <w:spacing w:val="3"/>
        </w:rPr>
        <w:t> </w:t>
      </w:r>
      <w:r>
        <w:rPr/>
        <w:t>AUSTRALIA</w:t>
      </w:r>
    </w:p>
    <w:p>
      <w:pPr>
        <w:pStyle w:val="BodyText"/>
        <w:spacing w:before="121"/>
        <w:ind w:right="876"/>
        <w:jc w:val="both"/>
      </w:pPr>
      <w:r>
        <w:rPr/>
        <w:t>International clearances for players leaving Australia to play under the control of another Federation will only be provided by Basketball Australia once both the club and State/Territory Association have advised in writing that the player has completed his/her contract with the club.</w:t>
      </w:r>
    </w:p>
    <w:p>
      <w:pPr>
        <w:pStyle w:val="BodyText"/>
        <w:spacing w:before="121"/>
        <w:ind w:right="876"/>
        <w:jc w:val="both"/>
      </w:pPr>
      <w:r>
        <w:rPr/>
        <w:t>The only valid reason for refusal of an international clearance is that the player is still covered by a valid</w:t>
      </w:r>
      <w:r>
        <w:rPr>
          <w:spacing w:val="-3"/>
        </w:rPr>
        <w:t> </w:t>
      </w:r>
      <w:r>
        <w:rPr/>
        <w:t>contract.</w:t>
      </w:r>
    </w:p>
    <w:p>
      <w:pPr>
        <w:pStyle w:val="BodyText"/>
        <w:spacing w:before="120"/>
        <w:ind w:right="875"/>
        <w:jc w:val="both"/>
      </w:pPr>
      <w:r>
        <w:rPr/>
        <w:t>All international clearances are unconditional (except for players going to the WNBA). A player who has signed a contract for a future period of time in the country from which they are seeking a clearance is bound by the laws of that country with regard to fulfilment of the contract. A Federation can only prevent a clearance for players currently under their control.</w:t>
      </w:r>
    </w:p>
    <w:p>
      <w:pPr>
        <w:pStyle w:val="BodyText"/>
        <w:spacing w:before="122"/>
        <w:ind w:right="879"/>
        <w:jc w:val="both"/>
      </w:pPr>
      <w:r>
        <w:rPr/>
        <w:t>NB: Players leaving Australia to play in a competition (even for only two weeks) in another country where the players do not compete as a team from Australia, are required to receive an outgoing international clearance and following their commitment to be cleared back to Australia. Clubs need to be aware of their visa sponsorship provisions in permitting players to compete in the above type of</w:t>
      </w:r>
      <w:r>
        <w:rPr>
          <w:spacing w:val="-4"/>
        </w:rPr>
        <w:t> </w:t>
      </w:r>
      <w:r>
        <w:rPr/>
        <w:t>competition.</w:t>
      </w:r>
    </w:p>
    <w:p>
      <w:pPr>
        <w:pStyle w:val="Heading3"/>
        <w:numPr>
          <w:ilvl w:val="0"/>
          <w:numId w:val="2"/>
        </w:numPr>
        <w:tabs>
          <w:tab w:pos="621" w:val="left" w:leader="none"/>
        </w:tabs>
        <w:spacing w:line="240" w:lineRule="auto" w:before="117" w:after="0"/>
        <w:ind w:left="620" w:right="0" w:hanging="361"/>
        <w:jc w:val="left"/>
      </w:pPr>
      <w:r>
        <w:rPr/>
        <w:t>MEN’S NATIONAL BASKETBALL LEAGUE</w:t>
      </w:r>
      <w:r>
        <w:rPr>
          <w:spacing w:val="-1"/>
        </w:rPr>
        <w:t> </w:t>
      </w:r>
      <w:r>
        <w:rPr/>
        <w:t>(NBL)</w:t>
      </w:r>
    </w:p>
    <w:p>
      <w:pPr>
        <w:pStyle w:val="BodyText"/>
        <w:spacing w:before="122"/>
        <w:ind w:right="875"/>
        <w:jc w:val="both"/>
      </w:pPr>
      <w:r>
        <w:rPr/>
        <w:t>International Clearances into and out of Australia remain the same. This means that should a player depart from Australia to play for the New Zealand based club, they must attain an international clearance to allow them to be registered in New Zealand. Alternately, if a  player leaves the New Zealand based club and returns to Australia to play, then the player must attain an international clearance from New Zealand to allow them to be registered in Australia. Just a clearance from one NBL club to another NBL club is not sufficient when moving from Australia to New Zealand or vice</w:t>
      </w:r>
      <w:r>
        <w:rPr>
          <w:spacing w:val="-6"/>
        </w:rPr>
        <w:t> </w:t>
      </w:r>
      <w:r>
        <w:rPr/>
        <w:t>versa.</w:t>
      </w:r>
    </w:p>
    <w:p>
      <w:pPr>
        <w:pStyle w:val="Heading3"/>
        <w:ind w:left="260" w:right="880" w:firstLine="0"/>
        <w:jc w:val="both"/>
      </w:pPr>
      <w:r>
        <w:rPr/>
        <w:t>The responsibility to obtain an international clearance, like all other registration requirements, rests with the player and his/ her club.</w:t>
      </w:r>
    </w:p>
    <w:p>
      <w:pPr>
        <w:spacing w:after="0"/>
        <w:jc w:val="both"/>
        <w:sectPr>
          <w:pgSz w:w="11910" w:h="16840"/>
          <w:pgMar w:top="1340" w:bottom="280" w:left="1180" w:right="560"/>
        </w:sectPr>
      </w:pPr>
    </w:p>
    <w:p>
      <w:pPr>
        <w:pStyle w:val="BodyText"/>
        <w:ind w:left="3210"/>
        <w:rPr>
          <w:sz w:val="20"/>
        </w:rPr>
      </w:pPr>
      <w:r>
        <w:rPr>
          <w:sz w:val="20"/>
        </w:rPr>
        <w:drawing>
          <wp:inline distT="0" distB="0" distL="0" distR="0">
            <wp:extent cx="2010060" cy="60436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010060" cy="604361"/>
                    </a:xfrm>
                    <a:prstGeom prst="rect">
                      <a:avLst/>
                    </a:prstGeom>
                  </pic:spPr>
                </pic:pic>
              </a:graphicData>
            </a:graphic>
          </wp:inline>
        </w:drawing>
      </w:r>
      <w:r>
        <w:rPr>
          <w:sz w:val="20"/>
        </w:rPr>
      </w:r>
    </w:p>
    <w:p>
      <w:pPr>
        <w:pStyle w:val="BodyText"/>
        <w:spacing w:before="5"/>
        <w:ind w:left="0"/>
        <w:rPr>
          <w:b/>
          <w:sz w:val="23"/>
        </w:rPr>
      </w:pPr>
    </w:p>
    <w:p>
      <w:pPr>
        <w:tabs>
          <w:tab w:pos="2596" w:val="left" w:leader="none"/>
        </w:tabs>
        <w:spacing w:before="92"/>
        <w:ind w:left="99" w:right="0" w:firstLine="0"/>
        <w:jc w:val="center"/>
        <w:rPr>
          <w:b/>
          <w:sz w:val="24"/>
        </w:rPr>
      </w:pPr>
      <w:r>
        <w:rPr>
          <w:b/>
          <w:sz w:val="24"/>
        </w:rPr>
        <w:t>Basketball</w:t>
      </w:r>
      <w:r>
        <w:rPr>
          <w:b/>
          <w:spacing w:val="-1"/>
          <w:sz w:val="24"/>
        </w:rPr>
        <w:t> </w:t>
      </w:r>
      <w:r>
        <w:rPr>
          <w:b/>
          <w:sz w:val="24"/>
        </w:rPr>
        <w:t>Australia</w:t>
        <w:tab/>
        <w:t>International Clearance Request</w:t>
      </w:r>
    </w:p>
    <w:p>
      <w:pPr>
        <w:spacing w:before="163"/>
        <w:ind w:left="98" w:right="0" w:firstLine="0"/>
        <w:jc w:val="center"/>
        <w:rPr>
          <w:b/>
          <w:sz w:val="24"/>
        </w:rPr>
      </w:pPr>
      <w:r>
        <w:rPr>
          <w:b/>
          <w:sz w:val="24"/>
        </w:rPr>
        <w:t>$50 (Clearance fee)</w:t>
      </w:r>
    </w:p>
    <w:p>
      <w:pPr>
        <w:pStyle w:val="BodyText"/>
        <w:ind w:left="0"/>
        <w:rPr>
          <w:b/>
          <w:sz w:val="20"/>
        </w:rPr>
      </w:pPr>
    </w:p>
    <w:p>
      <w:pPr>
        <w:pStyle w:val="BodyText"/>
        <w:ind w:left="0"/>
        <w:rPr>
          <w:b/>
          <w:sz w:val="20"/>
        </w:rPr>
      </w:pPr>
    </w:p>
    <w:p>
      <w:pPr>
        <w:pStyle w:val="BodyText"/>
        <w:spacing w:before="6"/>
        <w:ind w:left="0"/>
        <w:rPr>
          <w:b/>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5166"/>
      </w:tblGrid>
      <w:tr>
        <w:trPr>
          <w:trHeight w:val="515" w:hRule="atLeast"/>
        </w:trPr>
        <w:tc>
          <w:tcPr>
            <w:tcW w:w="4112" w:type="dxa"/>
          </w:tcPr>
          <w:p>
            <w:pPr>
              <w:pStyle w:val="TableParagraph"/>
              <w:spacing w:before="115"/>
              <w:ind w:left="108"/>
              <w:rPr>
                <w:b/>
                <w:sz w:val="24"/>
              </w:rPr>
            </w:pPr>
            <w:r>
              <w:rPr>
                <w:b/>
                <w:sz w:val="24"/>
              </w:rPr>
              <w:t>Club</w:t>
            </w:r>
          </w:p>
        </w:tc>
        <w:tc>
          <w:tcPr>
            <w:tcW w:w="5166" w:type="dxa"/>
          </w:tcPr>
          <w:p>
            <w:pPr>
              <w:pStyle w:val="TableParagraph"/>
              <w:rPr>
                <w:rFonts w:ascii="Times New Roman"/>
                <w:sz w:val="22"/>
              </w:rPr>
            </w:pPr>
          </w:p>
        </w:tc>
      </w:tr>
      <w:tr>
        <w:trPr>
          <w:trHeight w:val="516" w:hRule="atLeast"/>
        </w:trPr>
        <w:tc>
          <w:tcPr>
            <w:tcW w:w="4112" w:type="dxa"/>
          </w:tcPr>
          <w:p>
            <w:pPr>
              <w:pStyle w:val="TableParagraph"/>
              <w:spacing w:before="115"/>
              <w:ind w:left="108"/>
              <w:rPr>
                <w:b/>
                <w:sz w:val="24"/>
              </w:rPr>
            </w:pPr>
            <w:r>
              <w:rPr>
                <w:b/>
                <w:sz w:val="24"/>
              </w:rPr>
              <w:t>Club Contact</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Telephone</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Players name</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Date of Birth</w:t>
            </w:r>
          </w:p>
        </w:tc>
        <w:tc>
          <w:tcPr>
            <w:tcW w:w="5166" w:type="dxa"/>
          </w:tcPr>
          <w:p>
            <w:pPr>
              <w:pStyle w:val="TableParagraph"/>
              <w:rPr>
                <w:rFonts w:ascii="Times New Roman"/>
                <w:sz w:val="22"/>
              </w:rPr>
            </w:pPr>
          </w:p>
        </w:tc>
      </w:tr>
      <w:tr>
        <w:trPr>
          <w:trHeight w:val="518" w:hRule="atLeast"/>
        </w:trPr>
        <w:tc>
          <w:tcPr>
            <w:tcW w:w="4112" w:type="dxa"/>
          </w:tcPr>
          <w:p>
            <w:pPr>
              <w:pStyle w:val="TableParagraph"/>
              <w:spacing w:before="118"/>
              <w:ind w:left="108"/>
              <w:rPr>
                <w:b/>
                <w:sz w:val="24"/>
              </w:rPr>
            </w:pPr>
            <w:r>
              <w:rPr>
                <w:b/>
                <w:sz w:val="24"/>
              </w:rPr>
              <w:t>Club Last Played For</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Country Last Played In</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Year Last Played in That Country</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Players Agent</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Players Agent Nationality</w:t>
            </w:r>
          </w:p>
        </w:tc>
        <w:tc>
          <w:tcPr>
            <w:tcW w:w="5166" w:type="dxa"/>
          </w:tcPr>
          <w:p>
            <w:pPr>
              <w:pStyle w:val="TableParagraph"/>
              <w:rPr>
                <w:rFonts w:ascii="Times New Roman"/>
                <w:sz w:val="22"/>
              </w:rPr>
            </w:pPr>
          </w:p>
        </w:tc>
      </w:tr>
      <w:tr>
        <w:trPr>
          <w:trHeight w:val="515" w:hRule="atLeast"/>
        </w:trPr>
        <w:tc>
          <w:tcPr>
            <w:tcW w:w="4112" w:type="dxa"/>
          </w:tcPr>
          <w:p>
            <w:pPr>
              <w:pStyle w:val="TableParagraph"/>
              <w:spacing w:before="115"/>
              <w:ind w:left="108"/>
              <w:rPr>
                <w:b/>
                <w:sz w:val="24"/>
              </w:rPr>
            </w:pPr>
            <w:r>
              <w:rPr>
                <w:b/>
                <w:sz w:val="24"/>
              </w:rPr>
              <w:t>FIBA licence Number</w:t>
            </w:r>
          </w:p>
        </w:tc>
        <w:tc>
          <w:tcPr>
            <w:tcW w:w="5166" w:type="dxa"/>
          </w:tcPr>
          <w:p>
            <w:pPr>
              <w:pStyle w:val="TableParagraph"/>
              <w:rPr>
                <w:rFonts w:ascii="Times New Roman"/>
                <w:sz w:val="22"/>
              </w:rPr>
            </w:pPr>
          </w:p>
        </w:tc>
      </w:tr>
      <w:tr>
        <w:trPr>
          <w:trHeight w:val="493" w:hRule="atLeast"/>
        </w:trPr>
        <w:tc>
          <w:tcPr>
            <w:tcW w:w="9278" w:type="dxa"/>
            <w:gridSpan w:val="2"/>
          </w:tcPr>
          <w:p>
            <w:pPr>
              <w:pStyle w:val="TableParagraph"/>
              <w:spacing w:before="117"/>
              <w:ind w:left="2170" w:right="2167"/>
              <w:jc w:val="center"/>
              <w:rPr>
                <w:b/>
                <w:sz w:val="22"/>
              </w:rPr>
            </w:pPr>
            <w:r>
              <w:rPr>
                <w:b/>
                <w:sz w:val="22"/>
              </w:rPr>
              <w:t>All FIBA Agents are listed on the FIBA Website</w:t>
            </w:r>
          </w:p>
        </w:tc>
      </w:tr>
      <w:tr>
        <w:trPr>
          <w:trHeight w:val="460" w:hRule="atLeast"/>
        </w:trPr>
        <w:tc>
          <w:tcPr>
            <w:tcW w:w="9278" w:type="dxa"/>
            <w:gridSpan w:val="2"/>
          </w:tcPr>
          <w:p>
            <w:pPr>
              <w:pStyle w:val="TableParagraph"/>
              <w:spacing w:before="119"/>
              <w:ind w:left="417"/>
              <w:rPr>
                <w:rFonts w:ascii="Calibri"/>
                <w:b/>
                <w:sz w:val="18"/>
              </w:rPr>
            </w:pPr>
            <w:hyperlink r:id="rId10">
              <w:r>
                <w:rPr>
                  <w:rFonts w:ascii="Calibri"/>
                  <w:b/>
                  <w:color w:val="0000FF"/>
                  <w:sz w:val="18"/>
                  <w:u w:val="single" w:color="0000FF"/>
                </w:rPr>
                <w:t>http://www.fiba.com/pages/eng/fc/expe/fibaAgen/agenSear/p/openNodeIDs/5307/selNodeID/5307/sear.html</w:t>
              </w:r>
            </w:hyperlink>
          </w:p>
        </w:tc>
      </w:tr>
    </w:tbl>
    <w:p>
      <w:pPr>
        <w:pStyle w:val="BodyText"/>
        <w:spacing w:before="2"/>
        <w:ind w:left="0"/>
        <w:rPr>
          <w:b/>
          <w:sz w:val="29"/>
        </w:rPr>
      </w:pPr>
    </w:p>
    <w:p>
      <w:pPr>
        <w:spacing w:line="379" w:lineRule="auto" w:before="93"/>
        <w:ind w:left="327" w:right="4647" w:firstLine="0"/>
        <w:jc w:val="left"/>
        <w:rPr>
          <w:sz w:val="24"/>
        </w:rPr>
      </w:pPr>
      <w:r>
        <w:rPr>
          <w:sz w:val="24"/>
        </w:rPr>
        <w:t>This form must be sent (with payment details) to: Transfers</w:t>
      </w:r>
    </w:p>
    <w:p>
      <w:pPr>
        <w:spacing w:line="379" w:lineRule="auto" w:before="1"/>
        <w:ind w:left="327" w:right="7715" w:firstLine="0"/>
        <w:jc w:val="left"/>
        <w:rPr>
          <w:sz w:val="24"/>
        </w:rPr>
      </w:pPr>
      <w:r>
        <w:rPr>
          <w:sz w:val="24"/>
        </w:rPr>
        <w:t>Basketball Australia PO Box 218</w:t>
      </w:r>
    </w:p>
    <w:p>
      <w:pPr>
        <w:tabs>
          <w:tab w:pos="2527" w:val="right" w:leader="none"/>
        </w:tabs>
        <w:spacing w:line="381" w:lineRule="auto" w:before="2"/>
        <w:ind w:left="327" w:right="7636" w:firstLine="0"/>
        <w:jc w:val="left"/>
        <w:rPr>
          <w:sz w:val="24"/>
        </w:rPr>
      </w:pPr>
      <w:r>
        <w:rPr>
          <w:sz w:val="24"/>
        </w:rPr>
        <w:t>South Melbourne VICTORIA</w:t>
        <w:tab/>
        <w:t>3205</w:t>
      </w:r>
    </w:p>
    <w:p>
      <w:pPr>
        <w:pStyle w:val="Heading2"/>
        <w:spacing w:line="274" w:lineRule="exact"/>
      </w:pPr>
      <w:bookmarkStart w:name="_TOC_250000" w:id="1"/>
      <w:bookmarkEnd w:id="1"/>
      <w:r>
        <w:rPr/>
        <w:t>Fax: 03 9697 4335</w:t>
      </w:r>
    </w:p>
    <w:p>
      <w:pPr>
        <w:pStyle w:val="Heading2"/>
        <w:spacing w:before="161"/>
      </w:pPr>
      <w:r>
        <w:rPr/>
        <w:t>Email: </w:t>
      </w:r>
      <w:hyperlink r:id="rId6">
        <w:r>
          <w:rPr>
            <w:color w:val="0000FF"/>
            <w:u w:val="single" w:color="0000FF"/>
          </w:rPr>
          <w:t>transfers@basketball.net.au</w:t>
        </w:r>
      </w:hyperlink>
    </w:p>
    <w:p>
      <w:pPr>
        <w:spacing w:after="0"/>
        <w:sectPr>
          <w:pgSz w:w="11910" w:h="16840"/>
          <w:pgMar w:top="980" w:bottom="280" w:left="1180" w:right="560"/>
        </w:sectPr>
      </w:pPr>
    </w:p>
    <w:p>
      <w:pPr>
        <w:pStyle w:val="BodyText"/>
        <w:ind w:left="810"/>
        <w:rPr>
          <w:sz w:val="20"/>
        </w:rPr>
      </w:pPr>
      <w:r>
        <w:rPr>
          <w:sz w:val="20"/>
        </w:rPr>
        <w:pict>
          <v:group style="width:157.15pt;height:47.25pt;mso-position-horizontal-relative:char;mso-position-vertical-relative:line" coordorigin="0,0" coordsize="3143,945">
            <v:shape style="position:absolute;left:0;top:0;width:3143;height:945" type="#_x0000_t75" stroked="false">
              <v:imagedata r:id="rId9" o:title=""/>
            </v:shape>
            <v:shapetype id="_x0000_t202" o:spt="202" coordsize="21600,21600" path="m,l,21600r21600,l21600,xe">
              <v:stroke joinstyle="miter"/>
              <v:path gradientshapeok="t" o:connecttype="rect"/>
            </v:shapetype>
            <v:shape style="position:absolute;left:237;top:67;width:135;height:221" type="#_x0000_t202" filled="false" stroked="false">
              <v:textbox inset="0,0,0,0">
                <w:txbxContent>
                  <w:p>
                    <w:pPr>
                      <w:spacing w:line="221" w:lineRule="exact" w:before="0"/>
                      <w:ind w:left="0" w:right="0" w:firstLine="0"/>
                      <w:jc w:val="left"/>
                      <w:rPr>
                        <w:rFonts w:ascii="Calibri"/>
                        <w:sz w:val="22"/>
                      </w:rPr>
                    </w:pPr>
                    <w:r>
                      <w:rPr>
                        <w:rFonts w:ascii="Calibri"/>
                        <w:w w:val="100"/>
                        <w:sz w:val="22"/>
                      </w:rPr>
                      <w:t>P</w:t>
                    </w:r>
                  </w:p>
                </w:txbxContent>
              </v:textbox>
              <w10:wrap type="none"/>
            </v:shape>
          </v:group>
        </w:pict>
      </w:r>
      <w:r>
        <w:rPr>
          <w:sz w:val="20"/>
        </w:rPr>
      </w:r>
    </w:p>
    <w:p>
      <w:pPr>
        <w:pStyle w:val="BodyText"/>
        <w:ind w:left="0"/>
        <w:rPr>
          <w:sz w:val="36"/>
        </w:rPr>
      </w:pPr>
    </w:p>
    <w:p>
      <w:pPr>
        <w:pStyle w:val="BodyText"/>
        <w:spacing w:before="7"/>
        <w:ind w:left="0"/>
        <w:rPr>
          <w:sz w:val="31"/>
        </w:rPr>
      </w:pPr>
    </w:p>
    <w:p>
      <w:pPr>
        <w:spacing w:before="0"/>
        <w:ind w:left="260" w:right="0" w:firstLine="0"/>
        <w:jc w:val="left"/>
        <w:rPr>
          <w:b/>
          <w:sz w:val="32"/>
        </w:rPr>
      </w:pPr>
      <w:r>
        <w:rPr>
          <w:b/>
          <w:sz w:val="32"/>
        </w:rPr>
        <w:t>Payment Details Form</w:t>
      </w:r>
    </w:p>
    <w:p>
      <w:pPr>
        <w:pStyle w:val="Heading3"/>
        <w:spacing w:line="276" w:lineRule="auto" w:before="175"/>
        <w:ind w:left="260" w:right="1051" w:firstLine="0"/>
      </w:pPr>
      <w:r>
        <w:rPr/>
        <w:t>Payment type: Payment by Credit Card is the preferred method of payment. If paying by Bank Cheque please make cheque payable to </w:t>
      </w:r>
      <w:r>
        <w:rPr>
          <w:u w:val="thick"/>
        </w:rPr>
        <w:t>Basketball Australia</w:t>
      </w:r>
    </w:p>
    <w:p>
      <w:pPr>
        <w:pStyle w:val="BodyText"/>
        <w:ind w:left="0"/>
        <w:rPr>
          <w:b/>
          <w:sz w:val="20"/>
        </w:rPr>
      </w:pPr>
    </w:p>
    <w:p>
      <w:pPr>
        <w:pStyle w:val="BodyText"/>
        <w:spacing w:before="8"/>
        <w:ind w:left="0"/>
        <w:rPr>
          <w:b/>
          <w:sz w:val="26"/>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7"/>
        <w:gridCol w:w="367"/>
        <w:gridCol w:w="367"/>
        <w:gridCol w:w="367"/>
        <w:gridCol w:w="367"/>
        <w:gridCol w:w="367"/>
        <w:gridCol w:w="183"/>
        <w:gridCol w:w="185"/>
        <w:gridCol w:w="367"/>
        <w:gridCol w:w="367"/>
        <w:gridCol w:w="367"/>
        <w:gridCol w:w="369"/>
        <w:gridCol w:w="263"/>
        <w:gridCol w:w="100"/>
        <w:gridCol w:w="366"/>
        <w:gridCol w:w="369"/>
        <w:gridCol w:w="366"/>
        <w:gridCol w:w="366"/>
        <w:gridCol w:w="366"/>
      </w:tblGrid>
      <w:tr>
        <w:trPr>
          <w:trHeight w:val="652" w:hRule="atLeast"/>
        </w:trPr>
        <w:tc>
          <w:tcPr>
            <w:tcW w:w="3257" w:type="dxa"/>
          </w:tcPr>
          <w:p>
            <w:pPr>
              <w:pStyle w:val="TableParagraph"/>
              <w:spacing w:before="118"/>
              <w:ind w:left="107"/>
              <w:rPr>
                <w:b/>
                <w:sz w:val="24"/>
              </w:rPr>
            </w:pPr>
            <w:r>
              <w:rPr>
                <w:b/>
                <w:sz w:val="24"/>
              </w:rPr>
              <w:t>Payment by (tick one box)</w:t>
            </w:r>
          </w:p>
        </w:tc>
        <w:tc>
          <w:tcPr>
            <w:tcW w:w="2018" w:type="dxa"/>
            <w:gridSpan w:val="6"/>
          </w:tcPr>
          <w:p>
            <w:pPr>
              <w:pStyle w:val="TableParagraph"/>
              <w:spacing w:before="118"/>
              <w:ind w:left="108"/>
              <w:rPr>
                <w:b/>
                <w:sz w:val="24"/>
              </w:rPr>
            </w:pPr>
            <w:r>
              <w:rPr>
                <w:b/>
                <w:sz w:val="24"/>
              </w:rPr>
              <w:t>Mastercard</w:t>
            </w:r>
          </w:p>
        </w:tc>
        <w:tc>
          <w:tcPr>
            <w:tcW w:w="1918" w:type="dxa"/>
            <w:gridSpan w:val="6"/>
          </w:tcPr>
          <w:p>
            <w:pPr>
              <w:pStyle w:val="TableParagraph"/>
              <w:spacing w:before="118"/>
              <w:ind w:left="108"/>
              <w:rPr>
                <w:b/>
                <w:sz w:val="24"/>
              </w:rPr>
            </w:pPr>
            <w:r>
              <w:rPr>
                <w:b/>
                <w:sz w:val="24"/>
              </w:rPr>
              <w:t>Visa</w:t>
            </w:r>
          </w:p>
        </w:tc>
        <w:tc>
          <w:tcPr>
            <w:tcW w:w="1933" w:type="dxa"/>
            <w:gridSpan w:val="6"/>
          </w:tcPr>
          <w:p>
            <w:pPr>
              <w:pStyle w:val="TableParagraph"/>
              <w:spacing w:before="118"/>
              <w:ind w:left="108"/>
              <w:rPr>
                <w:b/>
                <w:sz w:val="24"/>
              </w:rPr>
            </w:pPr>
            <w:r>
              <w:rPr>
                <w:b/>
                <w:sz w:val="24"/>
              </w:rPr>
              <w:t>Amex</w:t>
            </w:r>
          </w:p>
        </w:tc>
      </w:tr>
      <w:tr>
        <w:trPr>
          <w:trHeight w:val="1067" w:hRule="atLeast"/>
        </w:trPr>
        <w:tc>
          <w:tcPr>
            <w:tcW w:w="3257" w:type="dxa"/>
          </w:tcPr>
          <w:p>
            <w:pPr>
              <w:pStyle w:val="TableParagraph"/>
              <w:spacing w:before="4"/>
              <w:rPr>
                <w:b/>
                <w:sz w:val="28"/>
              </w:rPr>
            </w:pPr>
          </w:p>
          <w:p>
            <w:pPr>
              <w:pStyle w:val="TableParagraph"/>
              <w:ind w:left="107"/>
              <w:rPr>
                <w:b/>
                <w:sz w:val="24"/>
              </w:rPr>
            </w:pPr>
            <w:r>
              <w:rPr>
                <w:b/>
                <w:sz w:val="24"/>
              </w:rPr>
              <w:t>Amount to be paid</w:t>
            </w:r>
          </w:p>
        </w:tc>
        <w:tc>
          <w:tcPr>
            <w:tcW w:w="2937" w:type="dxa"/>
            <w:gridSpan w:val="9"/>
          </w:tcPr>
          <w:p>
            <w:pPr>
              <w:pStyle w:val="TableParagraph"/>
              <w:spacing w:before="4"/>
              <w:rPr>
                <w:b/>
                <w:sz w:val="28"/>
              </w:rPr>
            </w:pPr>
          </w:p>
          <w:p>
            <w:pPr>
              <w:pStyle w:val="TableParagraph"/>
              <w:ind w:left="108"/>
              <w:rPr>
                <w:b/>
                <w:sz w:val="24"/>
              </w:rPr>
            </w:pPr>
            <w:r>
              <w:rPr>
                <w:b/>
                <w:sz w:val="24"/>
              </w:rPr>
              <w:t>Visa Application $350</w:t>
            </w:r>
          </w:p>
        </w:tc>
        <w:tc>
          <w:tcPr>
            <w:tcW w:w="2932" w:type="dxa"/>
            <w:gridSpan w:val="9"/>
          </w:tcPr>
          <w:p>
            <w:pPr>
              <w:pStyle w:val="TableParagraph"/>
              <w:spacing w:before="120"/>
              <w:ind w:left="109"/>
              <w:rPr>
                <w:b/>
                <w:sz w:val="24"/>
              </w:rPr>
            </w:pPr>
            <w:r>
              <w:rPr>
                <w:b/>
                <w:sz w:val="24"/>
              </w:rPr>
              <w:t>Clearance Application</w:t>
            </w:r>
          </w:p>
          <w:p>
            <w:pPr>
              <w:pStyle w:val="TableParagraph"/>
              <w:spacing w:before="137"/>
              <w:ind w:left="109"/>
              <w:rPr>
                <w:b/>
                <w:sz w:val="24"/>
              </w:rPr>
            </w:pPr>
            <w:r>
              <w:rPr>
                <w:b/>
                <w:sz w:val="24"/>
              </w:rPr>
              <w:t>$50</w:t>
            </w:r>
          </w:p>
        </w:tc>
      </w:tr>
      <w:tr>
        <w:trPr>
          <w:trHeight w:val="654" w:hRule="atLeast"/>
        </w:trPr>
        <w:tc>
          <w:tcPr>
            <w:tcW w:w="3257" w:type="dxa"/>
          </w:tcPr>
          <w:p>
            <w:pPr>
              <w:pStyle w:val="TableParagraph"/>
              <w:spacing w:before="120"/>
              <w:ind w:left="107"/>
              <w:rPr>
                <w:b/>
                <w:sz w:val="24"/>
              </w:rPr>
            </w:pPr>
            <w:r>
              <w:rPr>
                <w:b/>
                <w:sz w:val="24"/>
              </w:rPr>
              <w:t>TOTAL TO BE PAID</w:t>
            </w:r>
          </w:p>
        </w:tc>
        <w:tc>
          <w:tcPr>
            <w:tcW w:w="5869" w:type="dxa"/>
            <w:gridSpan w:val="18"/>
          </w:tcPr>
          <w:p>
            <w:pPr>
              <w:pStyle w:val="TableParagraph"/>
              <w:spacing w:before="120"/>
              <w:ind w:left="108"/>
              <w:rPr>
                <w:b/>
                <w:sz w:val="24"/>
              </w:rPr>
            </w:pPr>
            <w:r>
              <w:rPr>
                <w:b/>
                <w:w w:val="99"/>
                <w:sz w:val="24"/>
              </w:rPr>
              <w:t>$</w:t>
            </w:r>
          </w:p>
        </w:tc>
      </w:tr>
      <w:tr>
        <w:trPr>
          <w:trHeight w:val="655" w:hRule="atLeast"/>
        </w:trPr>
        <w:tc>
          <w:tcPr>
            <w:tcW w:w="3257" w:type="dxa"/>
          </w:tcPr>
          <w:p>
            <w:pPr>
              <w:pStyle w:val="TableParagraph"/>
              <w:spacing w:before="118"/>
              <w:ind w:left="107"/>
              <w:rPr>
                <w:b/>
                <w:sz w:val="24"/>
              </w:rPr>
            </w:pPr>
            <w:r>
              <w:rPr>
                <w:b/>
                <w:sz w:val="24"/>
              </w:rPr>
              <w:t>Credit Card Number</w:t>
            </w:r>
          </w:p>
        </w:tc>
        <w:tc>
          <w:tcPr>
            <w:tcW w:w="367" w:type="dxa"/>
          </w:tcPr>
          <w:p>
            <w:pPr>
              <w:pStyle w:val="TableParagraph"/>
              <w:rPr>
                <w:rFonts w:ascii="Times New Roman"/>
                <w:sz w:val="22"/>
              </w:rPr>
            </w:pPr>
          </w:p>
        </w:tc>
        <w:tc>
          <w:tcPr>
            <w:tcW w:w="367" w:type="dxa"/>
          </w:tcPr>
          <w:p>
            <w:pPr>
              <w:pStyle w:val="TableParagraph"/>
              <w:rPr>
                <w:rFonts w:ascii="Times New Roman"/>
                <w:sz w:val="22"/>
              </w:rPr>
            </w:pPr>
          </w:p>
        </w:tc>
        <w:tc>
          <w:tcPr>
            <w:tcW w:w="367" w:type="dxa"/>
          </w:tcPr>
          <w:p>
            <w:pPr>
              <w:pStyle w:val="TableParagraph"/>
              <w:rPr>
                <w:rFonts w:ascii="Times New Roman"/>
                <w:sz w:val="22"/>
              </w:rPr>
            </w:pPr>
          </w:p>
        </w:tc>
        <w:tc>
          <w:tcPr>
            <w:tcW w:w="367" w:type="dxa"/>
          </w:tcPr>
          <w:p>
            <w:pPr>
              <w:pStyle w:val="TableParagraph"/>
              <w:rPr>
                <w:rFonts w:ascii="Times New Roman"/>
                <w:sz w:val="22"/>
              </w:rPr>
            </w:pPr>
          </w:p>
        </w:tc>
        <w:tc>
          <w:tcPr>
            <w:tcW w:w="367" w:type="dxa"/>
          </w:tcPr>
          <w:p>
            <w:pPr>
              <w:pStyle w:val="TableParagraph"/>
              <w:rPr>
                <w:rFonts w:ascii="Times New Roman"/>
                <w:sz w:val="22"/>
              </w:rPr>
            </w:pPr>
          </w:p>
        </w:tc>
        <w:tc>
          <w:tcPr>
            <w:tcW w:w="368" w:type="dxa"/>
            <w:gridSpan w:val="2"/>
          </w:tcPr>
          <w:p>
            <w:pPr>
              <w:pStyle w:val="TableParagraph"/>
              <w:rPr>
                <w:rFonts w:ascii="Times New Roman"/>
                <w:sz w:val="22"/>
              </w:rPr>
            </w:pPr>
          </w:p>
        </w:tc>
        <w:tc>
          <w:tcPr>
            <w:tcW w:w="367" w:type="dxa"/>
          </w:tcPr>
          <w:p>
            <w:pPr>
              <w:pStyle w:val="TableParagraph"/>
              <w:rPr>
                <w:rFonts w:ascii="Times New Roman"/>
                <w:sz w:val="22"/>
              </w:rPr>
            </w:pPr>
          </w:p>
        </w:tc>
        <w:tc>
          <w:tcPr>
            <w:tcW w:w="367" w:type="dxa"/>
          </w:tcPr>
          <w:p>
            <w:pPr>
              <w:pStyle w:val="TableParagraph"/>
              <w:rPr>
                <w:rFonts w:ascii="Times New Roman"/>
                <w:sz w:val="22"/>
              </w:rPr>
            </w:pPr>
          </w:p>
        </w:tc>
        <w:tc>
          <w:tcPr>
            <w:tcW w:w="367" w:type="dxa"/>
          </w:tcPr>
          <w:p>
            <w:pPr>
              <w:pStyle w:val="TableParagraph"/>
              <w:rPr>
                <w:rFonts w:ascii="Times New Roman"/>
                <w:sz w:val="22"/>
              </w:rPr>
            </w:pPr>
          </w:p>
        </w:tc>
        <w:tc>
          <w:tcPr>
            <w:tcW w:w="369" w:type="dxa"/>
          </w:tcPr>
          <w:p>
            <w:pPr>
              <w:pStyle w:val="TableParagraph"/>
              <w:rPr>
                <w:rFonts w:ascii="Times New Roman"/>
                <w:sz w:val="22"/>
              </w:rPr>
            </w:pPr>
          </w:p>
        </w:tc>
        <w:tc>
          <w:tcPr>
            <w:tcW w:w="363" w:type="dxa"/>
            <w:gridSpan w:val="2"/>
          </w:tcPr>
          <w:p>
            <w:pPr>
              <w:pStyle w:val="TableParagraph"/>
              <w:rPr>
                <w:rFonts w:ascii="Times New Roman"/>
                <w:sz w:val="22"/>
              </w:rPr>
            </w:pPr>
          </w:p>
        </w:tc>
        <w:tc>
          <w:tcPr>
            <w:tcW w:w="366" w:type="dxa"/>
          </w:tcPr>
          <w:p>
            <w:pPr>
              <w:pStyle w:val="TableParagraph"/>
              <w:rPr>
                <w:rFonts w:ascii="Times New Roman"/>
                <w:sz w:val="22"/>
              </w:rPr>
            </w:pPr>
          </w:p>
        </w:tc>
        <w:tc>
          <w:tcPr>
            <w:tcW w:w="369" w:type="dxa"/>
          </w:tcPr>
          <w:p>
            <w:pPr>
              <w:pStyle w:val="TableParagraph"/>
              <w:rPr>
                <w:rFonts w:ascii="Times New Roman"/>
                <w:sz w:val="22"/>
              </w:rPr>
            </w:pPr>
          </w:p>
        </w:tc>
        <w:tc>
          <w:tcPr>
            <w:tcW w:w="366" w:type="dxa"/>
          </w:tcPr>
          <w:p>
            <w:pPr>
              <w:pStyle w:val="TableParagraph"/>
              <w:rPr>
                <w:rFonts w:ascii="Times New Roman"/>
                <w:sz w:val="22"/>
              </w:rPr>
            </w:pPr>
          </w:p>
        </w:tc>
        <w:tc>
          <w:tcPr>
            <w:tcW w:w="366" w:type="dxa"/>
          </w:tcPr>
          <w:p>
            <w:pPr>
              <w:pStyle w:val="TableParagraph"/>
              <w:rPr>
                <w:rFonts w:ascii="Times New Roman"/>
                <w:sz w:val="22"/>
              </w:rPr>
            </w:pPr>
          </w:p>
        </w:tc>
        <w:tc>
          <w:tcPr>
            <w:tcW w:w="366" w:type="dxa"/>
          </w:tcPr>
          <w:p>
            <w:pPr>
              <w:pStyle w:val="TableParagraph"/>
              <w:rPr>
                <w:rFonts w:ascii="Times New Roman"/>
                <w:sz w:val="22"/>
              </w:rPr>
            </w:pPr>
          </w:p>
        </w:tc>
      </w:tr>
      <w:tr>
        <w:trPr>
          <w:trHeight w:val="652" w:hRule="atLeast"/>
        </w:trPr>
        <w:tc>
          <w:tcPr>
            <w:tcW w:w="3257" w:type="dxa"/>
          </w:tcPr>
          <w:p>
            <w:pPr>
              <w:pStyle w:val="TableParagraph"/>
              <w:spacing w:before="118"/>
              <w:ind w:left="107"/>
              <w:rPr>
                <w:b/>
                <w:sz w:val="24"/>
              </w:rPr>
            </w:pPr>
            <w:r>
              <w:rPr>
                <w:b/>
                <w:sz w:val="24"/>
              </w:rPr>
              <w:t>Expiry Date</w:t>
            </w:r>
          </w:p>
        </w:tc>
        <w:tc>
          <w:tcPr>
            <w:tcW w:w="2937" w:type="dxa"/>
            <w:gridSpan w:val="9"/>
          </w:tcPr>
          <w:p>
            <w:pPr>
              <w:pStyle w:val="TableParagraph"/>
              <w:spacing w:before="118"/>
              <w:ind w:left="108"/>
              <w:rPr>
                <w:b/>
                <w:sz w:val="24"/>
              </w:rPr>
            </w:pPr>
            <w:r>
              <w:rPr>
                <w:b/>
                <w:sz w:val="24"/>
              </w:rPr>
              <w:t>Month</w:t>
            </w:r>
          </w:p>
        </w:tc>
        <w:tc>
          <w:tcPr>
            <w:tcW w:w="2932" w:type="dxa"/>
            <w:gridSpan w:val="9"/>
          </w:tcPr>
          <w:p>
            <w:pPr>
              <w:pStyle w:val="TableParagraph"/>
              <w:spacing w:before="118"/>
              <w:ind w:left="109"/>
              <w:rPr>
                <w:b/>
                <w:sz w:val="24"/>
              </w:rPr>
            </w:pPr>
            <w:r>
              <w:rPr>
                <w:b/>
                <w:sz w:val="24"/>
              </w:rPr>
              <w:t>Year</w:t>
            </w:r>
          </w:p>
        </w:tc>
      </w:tr>
      <w:tr>
        <w:trPr>
          <w:trHeight w:val="654" w:hRule="atLeast"/>
        </w:trPr>
        <w:tc>
          <w:tcPr>
            <w:tcW w:w="3257" w:type="dxa"/>
          </w:tcPr>
          <w:p>
            <w:pPr>
              <w:pStyle w:val="TableParagraph"/>
              <w:spacing w:before="120"/>
              <w:ind w:left="107"/>
              <w:rPr>
                <w:b/>
                <w:sz w:val="24"/>
              </w:rPr>
            </w:pPr>
            <w:r>
              <w:rPr>
                <w:b/>
                <w:sz w:val="24"/>
              </w:rPr>
              <w:t>3 Digit Security Number</w:t>
            </w:r>
          </w:p>
        </w:tc>
        <w:tc>
          <w:tcPr>
            <w:tcW w:w="2937" w:type="dxa"/>
            <w:gridSpan w:val="9"/>
          </w:tcPr>
          <w:p>
            <w:pPr>
              <w:pStyle w:val="TableParagraph"/>
              <w:spacing w:before="134"/>
              <w:ind w:left="108"/>
              <w:rPr>
                <w:b/>
                <w:sz w:val="22"/>
              </w:rPr>
            </w:pPr>
            <w:r>
              <w:rPr>
                <w:b/>
                <w:sz w:val="22"/>
              </w:rPr>
              <w:t>Located on back of card</w:t>
            </w:r>
          </w:p>
        </w:tc>
        <w:tc>
          <w:tcPr>
            <w:tcW w:w="2932" w:type="dxa"/>
            <w:gridSpan w:val="9"/>
          </w:tcPr>
          <w:p>
            <w:pPr>
              <w:pStyle w:val="TableParagraph"/>
              <w:rPr>
                <w:rFonts w:ascii="Times New Roman"/>
                <w:sz w:val="22"/>
              </w:rPr>
            </w:pPr>
          </w:p>
        </w:tc>
      </w:tr>
      <w:tr>
        <w:trPr>
          <w:trHeight w:val="654" w:hRule="atLeast"/>
        </w:trPr>
        <w:tc>
          <w:tcPr>
            <w:tcW w:w="3257" w:type="dxa"/>
          </w:tcPr>
          <w:p>
            <w:pPr>
              <w:pStyle w:val="TableParagraph"/>
              <w:spacing w:before="118"/>
              <w:ind w:left="107"/>
              <w:rPr>
                <w:b/>
                <w:sz w:val="24"/>
              </w:rPr>
            </w:pPr>
            <w:r>
              <w:rPr>
                <w:b/>
                <w:sz w:val="24"/>
              </w:rPr>
              <w:t>Cardholders Name</w:t>
            </w:r>
          </w:p>
        </w:tc>
        <w:tc>
          <w:tcPr>
            <w:tcW w:w="5869" w:type="dxa"/>
            <w:gridSpan w:val="18"/>
          </w:tcPr>
          <w:p>
            <w:pPr>
              <w:pStyle w:val="TableParagraph"/>
              <w:rPr>
                <w:rFonts w:ascii="Times New Roman"/>
                <w:sz w:val="22"/>
              </w:rPr>
            </w:pPr>
          </w:p>
        </w:tc>
      </w:tr>
      <w:tr>
        <w:trPr>
          <w:trHeight w:val="652" w:hRule="atLeast"/>
        </w:trPr>
        <w:tc>
          <w:tcPr>
            <w:tcW w:w="3257" w:type="dxa"/>
          </w:tcPr>
          <w:p>
            <w:pPr>
              <w:pStyle w:val="TableParagraph"/>
              <w:spacing w:before="118"/>
              <w:ind w:left="107"/>
              <w:rPr>
                <w:b/>
                <w:sz w:val="24"/>
              </w:rPr>
            </w:pPr>
            <w:r>
              <w:rPr>
                <w:b/>
                <w:sz w:val="24"/>
              </w:rPr>
              <w:t>Phone</w:t>
            </w:r>
          </w:p>
        </w:tc>
        <w:tc>
          <w:tcPr>
            <w:tcW w:w="5869" w:type="dxa"/>
            <w:gridSpan w:val="18"/>
          </w:tcPr>
          <w:p>
            <w:pPr>
              <w:pStyle w:val="TableParagraph"/>
              <w:rPr>
                <w:rFonts w:ascii="Times New Roman"/>
                <w:sz w:val="22"/>
              </w:rPr>
            </w:pPr>
          </w:p>
        </w:tc>
      </w:tr>
      <w:tr>
        <w:trPr>
          <w:trHeight w:val="1190" w:hRule="atLeast"/>
        </w:trPr>
        <w:tc>
          <w:tcPr>
            <w:tcW w:w="3257" w:type="dxa"/>
          </w:tcPr>
          <w:p>
            <w:pPr>
              <w:pStyle w:val="TableParagraph"/>
              <w:spacing w:before="7"/>
              <w:rPr>
                <w:b/>
                <w:sz w:val="33"/>
              </w:rPr>
            </w:pPr>
          </w:p>
          <w:p>
            <w:pPr>
              <w:pStyle w:val="TableParagraph"/>
              <w:spacing w:before="1"/>
              <w:ind w:left="107"/>
              <w:rPr>
                <w:b/>
                <w:sz w:val="24"/>
              </w:rPr>
            </w:pPr>
            <w:r>
              <w:rPr>
                <w:b/>
                <w:sz w:val="24"/>
              </w:rPr>
              <w:t>Signature of Cardholder</w:t>
            </w:r>
          </w:p>
        </w:tc>
        <w:tc>
          <w:tcPr>
            <w:tcW w:w="5869" w:type="dxa"/>
            <w:gridSpan w:val="18"/>
          </w:tcPr>
          <w:p>
            <w:pPr>
              <w:pStyle w:val="TableParagraph"/>
              <w:rPr>
                <w:rFonts w:ascii="Times New Roman"/>
                <w:sz w:val="22"/>
              </w:rPr>
            </w:pPr>
          </w:p>
        </w:tc>
      </w:tr>
    </w:tbl>
    <w:p>
      <w:pPr>
        <w:pStyle w:val="BodyText"/>
        <w:spacing w:before="11"/>
        <w:ind w:left="0"/>
        <w:rPr>
          <w:b/>
          <w:sz w:val="28"/>
        </w:rPr>
      </w:pPr>
    </w:p>
    <w:p>
      <w:pPr>
        <w:spacing w:line="381" w:lineRule="auto" w:before="92"/>
        <w:ind w:left="327" w:right="4647" w:firstLine="0"/>
        <w:jc w:val="left"/>
        <w:rPr>
          <w:sz w:val="24"/>
        </w:rPr>
      </w:pPr>
      <w:r>
        <w:rPr>
          <w:sz w:val="24"/>
        </w:rPr>
        <w:t>This form must be sent (with payment details) to: Transfers</w:t>
      </w:r>
    </w:p>
    <w:p>
      <w:pPr>
        <w:spacing w:line="379" w:lineRule="auto" w:before="0"/>
        <w:ind w:left="327" w:right="7715" w:firstLine="0"/>
        <w:jc w:val="left"/>
        <w:rPr>
          <w:sz w:val="24"/>
        </w:rPr>
      </w:pPr>
      <w:r>
        <w:rPr>
          <w:sz w:val="24"/>
        </w:rPr>
        <w:t>Basketball Australia PO Box 218</w:t>
      </w:r>
    </w:p>
    <w:sdt>
      <w:sdtPr>
        <w:docPartObj>
          <w:docPartGallery w:val="Table of Contents"/>
          <w:docPartUnique/>
        </w:docPartObj>
      </w:sdtPr>
      <w:sdtEndPr/>
      <w:sdtContent>
        <w:p>
          <w:pPr>
            <w:pStyle w:val="TOC1"/>
            <w:tabs>
              <w:tab w:pos="2527" w:val="right" w:leader="none"/>
            </w:tabs>
            <w:spacing w:line="381" w:lineRule="auto"/>
            <w:ind w:right="7636"/>
          </w:pPr>
          <w:r>
            <w:rPr/>
            <w:t>South Melbourne VICTORIA</w:t>
            <w:tab/>
            <w:t>3205</w:t>
          </w:r>
        </w:p>
        <w:p>
          <w:pPr>
            <w:pStyle w:val="TOC1"/>
            <w:spacing w:line="274" w:lineRule="exact"/>
          </w:pPr>
          <w:hyperlink w:history="true" w:anchor="_TOC_250000">
            <w:r>
              <w:rPr/>
              <w:t>Fax: 03 9697 4335</w:t>
            </w:r>
          </w:hyperlink>
        </w:p>
        <w:p>
          <w:pPr>
            <w:pStyle w:val="TOC1"/>
            <w:spacing w:before="161"/>
          </w:pPr>
          <w:r>
            <w:rPr/>
            <w:t>Email: </w:t>
          </w:r>
          <w:hyperlink r:id="rId6">
            <w:r>
              <w:rPr>
                <w:color w:val="0000FF"/>
                <w:u w:val="single" w:color="0000FF"/>
              </w:rPr>
              <w:t>transfers@basketball.net.au</w:t>
            </w:r>
          </w:hyperlink>
        </w:p>
      </w:sdtContent>
    </w:sdt>
    <w:sectPr>
      <w:pgSz w:w="11910" w:h="16840"/>
      <w:pgMar w:top="1400" w:bottom="280" w:left="11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18" w:hanging="358"/>
        <w:jc w:val="left"/>
      </w:pPr>
      <w:rPr>
        <w:rFonts w:hint="default" w:ascii="Arial" w:hAnsi="Arial" w:eastAsia="Arial" w:cs="Arial"/>
        <w:b/>
        <w:bCs/>
        <w:spacing w:val="-1"/>
        <w:w w:val="100"/>
        <w:sz w:val="22"/>
        <w:szCs w:val="22"/>
        <w:lang w:val="en-au" w:eastAsia="en-au" w:bidi="en-au"/>
      </w:rPr>
    </w:lvl>
    <w:lvl w:ilvl="1">
      <w:start w:val="0"/>
      <w:numFmt w:val="bullet"/>
      <w:lvlText w:val="•"/>
      <w:lvlJc w:val="left"/>
      <w:pPr>
        <w:ind w:left="1574" w:hanging="358"/>
      </w:pPr>
      <w:rPr>
        <w:rFonts w:hint="default"/>
        <w:lang w:val="en-au" w:eastAsia="en-au" w:bidi="en-au"/>
      </w:rPr>
    </w:lvl>
    <w:lvl w:ilvl="2">
      <w:start w:val="0"/>
      <w:numFmt w:val="bullet"/>
      <w:lvlText w:val="•"/>
      <w:lvlJc w:val="left"/>
      <w:pPr>
        <w:ind w:left="2529" w:hanging="358"/>
      </w:pPr>
      <w:rPr>
        <w:rFonts w:hint="default"/>
        <w:lang w:val="en-au" w:eastAsia="en-au" w:bidi="en-au"/>
      </w:rPr>
    </w:lvl>
    <w:lvl w:ilvl="3">
      <w:start w:val="0"/>
      <w:numFmt w:val="bullet"/>
      <w:lvlText w:val="•"/>
      <w:lvlJc w:val="left"/>
      <w:pPr>
        <w:ind w:left="3483" w:hanging="358"/>
      </w:pPr>
      <w:rPr>
        <w:rFonts w:hint="default"/>
        <w:lang w:val="en-au" w:eastAsia="en-au" w:bidi="en-au"/>
      </w:rPr>
    </w:lvl>
    <w:lvl w:ilvl="4">
      <w:start w:val="0"/>
      <w:numFmt w:val="bullet"/>
      <w:lvlText w:val="•"/>
      <w:lvlJc w:val="left"/>
      <w:pPr>
        <w:ind w:left="4438" w:hanging="358"/>
      </w:pPr>
      <w:rPr>
        <w:rFonts w:hint="default"/>
        <w:lang w:val="en-au" w:eastAsia="en-au" w:bidi="en-au"/>
      </w:rPr>
    </w:lvl>
    <w:lvl w:ilvl="5">
      <w:start w:val="0"/>
      <w:numFmt w:val="bullet"/>
      <w:lvlText w:val="•"/>
      <w:lvlJc w:val="left"/>
      <w:pPr>
        <w:ind w:left="5393" w:hanging="358"/>
      </w:pPr>
      <w:rPr>
        <w:rFonts w:hint="default"/>
        <w:lang w:val="en-au" w:eastAsia="en-au" w:bidi="en-au"/>
      </w:rPr>
    </w:lvl>
    <w:lvl w:ilvl="6">
      <w:start w:val="0"/>
      <w:numFmt w:val="bullet"/>
      <w:lvlText w:val="•"/>
      <w:lvlJc w:val="left"/>
      <w:pPr>
        <w:ind w:left="6347" w:hanging="358"/>
      </w:pPr>
      <w:rPr>
        <w:rFonts w:hint="default"/>
        <w:lang w:val="en-au" w:eastAsia="en-au" w:bidi="en-au"/>
      </w:rPr>
    </w:lvl>
    <w:lvl w:ilvl="7">
      <w:start w:val="0"/>
      <w:numFmt w:val="bullet"/>
      <w:lvlText w:val="•"/>
      <w:lvlJc w:val="left"/>
      <w:pPr>
        <w:ind w:left="7302" w:hanging="358"/>
      </w:pPr>
      <w:rPr>
        <w:rFonts w:hint="default"/>
        <w:lang w:val="en-au" w:eastAsia="en-au" w:bidi="en-au"/>
      </w:rPr>
    </w:lvl>
    <w:lvl w:ilvl="8">
      <w:start w:val="0"/>
      <w:numFmt w:val="bullet"/>
      <w:lvlText w:val="•"/>
      <w:lvlJc w:val="left"/>
      <w:pPr>
        <w:ind w:left="8257" w:hanging="358"/>
      </w:pPr>
      <w:rPr>
        <w:rFonts w:hint="default"/>
        <w:lang w:val="en-au" w:eastAsia="en-au" w:bidi="en-au"/>
      </w:rPr>
    </w:lvl>
  </w:abstractNum>
  <w:abstractNum w:abstractNumId="0">
    <w:multiLevelType w:val="hybridMultilevel"/>
    <w:lvl w:ilvl="0">
      <w:start w:val="0"/>
      <w:numFmt w:val="bullet"/>
      <w:lvlText w:val=""/>
      <w:lvlJc w:val="left"/>
      <w:pPr>
        <w:ind w:left="980" w:hanging="360"/>
      </w:pPr>
      <w:rPr>
        <w:rFonts w:hint="default" w:ascii="Symbol" w:hAnsi="Symbol" w:eastAsia="Symbol" w:cs="Symbol"/>
        <w:w w:val="100"/>
        <w:sz w:val="22"/>
        <w:szCs w:val="22"/>
        <w:lang w:val="en-au" w:eastAsia="en-au" w:bidi="en-au"/>
      </w:rPr>
    </w:lvl>
    <w:lvl w:ilvl="1">
      <w:start w:val="0"/>
      <w:numFmt w:val="bullet"/>
      <w:lvlText w:val="•"/>
      <w:lvlJc w:val="left"/>
      <w:pPr>
        <w:ind w:left="1898" w:hanging="360"/>
      </w:pPr>
      <w:rPr>
        <w:rFonts w:hint="default"/>
        <w:lang w:val="en-au" w:eastAsia="en-au" w:bidi="en-au"/>
      </w:rPr>
    </w:lvl>
    <w:lvl w:ilvl="2">
      <w:start w:val="0"/>
      <w:numFmt w:val="bullet"/>
      <w:lvlText w:val="•"/>
      <w:lvlJc w:val="left"/>
      <w:pPr>
        <w:ind w:left="2817" w:hanging="360"/>
      </w:pPr>
      <w:rPr>
        <w:rFonts w:hint="default"/>
        <w:lang w:val="en-au" w:eastAsia="en-au" w:bidi="en-au"/>
      </w:rPr>
    </w:lvl>
    <w:lvl w:ilvl="3">
      <w:start w:val="0"/>
      <w:numFmt w:val="bullet"/>
      <w:lvlText w:val="•"/>
      <w:lvlJc w:val="left"/>
      <w:pPr>
        <w:ind w:left="3735" w:hanging="360"/>
      </w:pPr>
      <w:rPr>
        <w:rFonts w:hint="default"/>
        <w:lang w:val="en-au" w:eastAsia="en-au" w:bidi="en-au"/>
      </w:rPr>
    </w:lvl>
    <w:lvl w:ilvl="4">
      <w:start w:val="0"/>
      <w:numFmt w:val="bullet"/>
      <w:lvlText w:val="•"/>
      <w:lvlJc w:val="left"/>
      <w:pPr>
        <w:ind w:left="4654" w:hanging="360"/>
      </w:pPr>
      <w:rPr>
        <w:rFonts w:hint="default"/>
        <w:lang w:val="en-au" w:eastAsia="en-au" w:bidi="en-au"/>
      </w:rPr>
    </w:lvl>
    <w:lvl w:ilvl="5">
      <w:start w:val="0"/>
      <w:numFmt w:val="bullet"/>
      <w:lvlText w:val="•"/>
      <w:lvlJc w:val="left"/>
      <w:pPr>
        <w:ind w:left="5573" w:hanging="360"/>
      </w:pPr>
      <w:rPr>
        <w:rFonts w:hint="default"/>
        <w:lang w:val="en-au" w:eastAsia="en-au" w:bidi="en-au"/>
      </w:rPr>
    </w:lvl>
    <w:lvl w:ilvl="6">
      <w:start w:val="0"/>
      <w:numFmt w:val="bullet"/>
      <w:lvlText w:val="•"/>
      <w:lvlJc w:val="left"/>
      <w:pPr>
        <w:ind w:left="6491" w:hanging="360"/>
      </w:pPr>
      <w:rPr>
        <w:rFonts w:hint="default"/>
        <w:lang w:val="en-au" w:eastAsia="en-au" w:bidi="en-au"/>
      </w:rPr>
    </w:lvl>
    <w:lvl w:ilvl="7">
      <w:start w:val="0"/>
      <w:numFmt w:val="bullet"/>
      <w:lvlText w:val="•"/>
      <w:lvlJc w:val="left"/>
      <w:pPr>
        <w:ind w:left="7410" w:hanging="360"/>
      </w:pPr>
      <w:rPr>
        <w:rFonts w:hint="default"/>
        <w:lang w:val="en-au" w:eastAsia="en-au" w:bidi="en-au"/>
      </w:rPr>
    </w:lvl>
    <w:lvl w:ilvl="8">
      <w:start w:val="0"/>
      <w:numFmt w:val="bullet"/>
      <w:lvlText w:val="•"/>
      <w:lvlJc w:val="left"/>
      <w:pPr>
        <w:ind w:left="8329" w:hanging="360"/>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TOC1" w:type="paragraph">
    <w:name w:val="TOC 1"/>
    <w:basedOn w:val="Normal"/>
    <w:uiPriority w:val="1"/>
    <w:qFormat/>
    <w:pPr>
      <w:ind w:left="327"/>
    </w:pPr>
    <w:rPr>
      <w:rFonts w:ascii="Arial" w:hAnsi="Arial" w:eastAsia="Arial" w:cs="Arial"/>
      <w:sz w:val="24"/>
      <w:szCs w:val="24"/>
      <w:lang w:val="en-au" w:eastAsia="en-au" w:bidi="en-au"/>
    </w:rPr>
  </w:style>
  <w:style w:styleId="BodyText" w:type="paragraph">
    <w:name w:val="Body Text"/>
    <w:basedOn w:val="Normal"/>
    <w:uiPriority w:val="1"/>
    <w:qFormat/>
    <w:pPr>
      <w:ind w:left="260"/>
    </w:pPr>
    <w:rPr>
      <w:rFonts w:ascii="Arial" w:hAnsi="Arial" w:eastAsia="Arial" w:cs="Arial"/>
      <w:sz w:val="22"/>
      <w:szCs w:val="22"/>
      <w:lang w:val="en-au" w:eastAsia="en-au" w:bidi="en-au"/>
    </w:rPr>
  </w:style>
  <w:style w:styleId="Heading1" w:type="paragraph">
    <w:name w:val="Heading 1"/>
    <w:basedOn w:val="Normal"/>
    <w:uiPriority w:val="1"/>
    <w:qFormat/>
    <w:pPr>
      <w:ind w:left="98"/>
      <w:jc w:val="center"/>
      <w:outlineLvl w:val="1"/>
    </w:pPr>
    <w:rPr>
      <w:rFonts w:ascii="Arial" w:hAnsi="Arial" w:eastAsia="Arial" w:cs="Arial"/>
      <w:b/>
      <w:bCs/>
      <w:sz w:val="24"/>
      <w:szCs w:val="24"/>
      <w:lang w:val="en-au" w:eastAsia="en-au" w:bidi="en-au"/>
    </w:rPr>
  </w:style>
  <w:style w:styleId="Heading2" w:type="paragraph">
    <w:name w:val="Heading 2"/>
    <w:basedOn w:val="Normal"/>
    <w:uiPriority w:val="1"/>
    <w:qFormat/>
    <w:pPr>
      <w:ind w:left="327"/>
      <w:outlineLvl w:val="2"/>
    </w:pPr>
    <w:rPr>
      <w:rFonts w:ascii="Arial" w:hAnsi="Arial" w:eastAsia="Arial" w:cs="Arial"/>
      <w:sz w:val="24"/>
      <w:szCs w:val="24"/>
      <w:lang w:val="en-au" w:eastAsia="en-au" w:bidi="en-au"/>
    </w:rPr>
  </w:style>
  <w:style w:styleId="Heading3" w:type="paragraph">
    <w:name w:val="Heading 3"/>
    <w:basedOn w:val="Normal"/>
    <w:uiPriority w:val="1"/>
    <w:qFormat/>
    <w:pPr>
      <w:spacing w:before="118"/>
      <w:ind w:left="620" w:hanging="361"/>
      <w:outlineLvl w:val="3"/>
    </w:pPr>
    <w:rPr>
      <w:rFonts w:ascii="Arial" w:hAnsi="Arial" w:eastAsia="Arial" w:cs="Arial"/>
      <w:b/>
      <w:bCs/>
      <w:sz w:val="22"/>
      <w:szCs w:val="22"/>
      <w:lang w:val="en-au" w:eastAsia="en-au" w:bidi="en-au"/>
    </w:rPr>
  </w:style>
  <w:style w:styleId="ListParagraph" w:type="paragraph">
    <w:name w:val="List Paragraph"/>
    <w:basedOn w:val="Normal"/>
    <w:uiPriority w:val="1"/>
    <w:qFormat/>
    <w:pPr>
      <w:ind w:left="620" w:hanging="361"/>
    </w:pPr>
    <w:rPr>
      <w:rFonts w:ascii="Arial" w:hAnsi="Arial" w:eastAsia="Arial" w:cs="Arial"/>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transfers@basketball.net.au" TargetMode="External"/><Relationship Id="rId7" Type="http://schemas.openxmlformats.org/officeDocument/2006/relationships/hyperlink" Target="http://www.usabasketball.com/" TargetMode="External"/><Relationship Id="rId8" Type="http://schemas.openxmlformats.org/officeDocument/2006/relationships/hyperlink" Target="http://www.basketball.ca/" TargetMode="External"/><Relationship Id="rId9" Type="http://schemas.openxmlformats.org/officeDocument/2006/relationships/image" Target="media/image2.png"/><Relationship Id="rId10" Type="http://schemas.openxmlformats.org/officeDocument/2006/relationships/hyperlink" Target="http://www.fiba.com/pages/eng/fc/expe/fibaAgen/agenSear/p/openNodeIDs/5307/selNodeID/5307/sear.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Chivers</dc:creator>
  <dcterms:created xsi:type="dcterms:W3CDTF">2020-03-09T23:52:44Z</dcterms:created>
  <dcterms:modified xsi:type="dcterms:W3CDTF">2020-03-09T23:52:44Z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Microsoft® Word 2010 Subscription</vt:lpwstr>
  </property>
  <property fmtid="{D5CDD505-2E9C-101B-9397-08002B2CF9AE}" pid="4" name="LastSaved">
    <vt:filetime>2020-03-09T00:00:00Z</vt:filetime>
  </property>
</Properties>
</file>